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sz w:val="24"/>
          <w:szCs w:val="24"/>
        </w:rPr>
      </w:pPr>
      <w:r>
        <w:rPr>
          <w:rFonts w:cs="Times New Roman" w:ascii="Times New Roman" w:hAnsi="Times New Roman"/>
          <w:sz w:val="24"/>
          <w:szCs w:val="24"/>
        </w:rPr>
        <w:t>ТЕХНИЧЕСКОЕ ЗАДАНИЕ</w:t>
      </w:r>
    </w:p>
    <w:p>
      <w:pPr>
        <w:pStyle w:val="Normal"/>
        <w:ind w:firstLine="567" w:start="-567"/>
        <w:jc w:val="center"/>
        <w:rPr>
          <w:rFonts w:ascii="Times New Roman" w:hAnsi="Times New Roman" w:cs="Times New Roman"/>
          <w:i/>
          <w:iCs/>
          <w:sz w:val="24"/>
          <w:szCs w:val="24"/>
        </w:rPr>
      </w:pPr>
      <w:r>
        <w:rPr>
          <w:rFonts w:cs="Times New Roman" w:ascii="Times New Roman" w:hAnsi="Times New Roman"/>
          <w:i/>
          <w:iCs/>
          <w:sz w:val="24"/>
          <w:szCs w:val="24"/>
        </w:rPr>
        <w:t>Общество с ограниченной ответственностью «Специализированный застройщик Ленинградской области 1» (ООО «Спецзастройщик ЛО 1») является дочерней организацией АО «ЛенОблАИЖК», которое определено оператором реализации региональной адресной программы «Переселение граждан из аварийного жилищного фонда на территории Ленинградской области» для строительства многоквартирных жилых домов.</w:t>
      </w:r>
    </w:p>
    <w:p>
      <w:pPr>
        <w:pStyle w:val="Normal"/>
        <w:ind w:firstLine="567" w:start="-567"/>
        <w:jc w:val="center"/>
        <w:rPr>
          <w:rFonts w:ascii="Times New Roman" w:hAnsi="Times New Roman" w:cs="Times New Roman"/>
          <w:i/>
          <w:iCs/>
          <w:sz w:val="24"/>
          <w:szCs w:val="24"/>
        </w:rPr>
      </w:pPr>
      <w:r>
        <w:rPr>
          <w:rFonts w:cs="Times New Roman" w:ascii="Times New Roman" w:hAnsi="Times New Roman"/>
          <w:i/>
          <w:iCs/>
          <w:sz w:val="24"/>
          <w:szCs w:val="24"/>
        </w:rPr>
      </w:r>
    </w:p>
    <w:p>
      <w:pPr>
        <w:pStyle w:val="Normal"/>
        <w:spacing w:lineRule="auto" w:line="276"/>
        <w:ind w:firstLine="567" w:start="-567"/>
        <w:jc w:val="both"/>
        <w:rPr>
          <w:rFonts w:ascii="Times New Roman" w:hAnsi="Times New Roman" w:cs="Times New Roman"/>
          <w:sz w:val="24"/>
          <w:szCs w:val="24"/>
          <w:u w:val="single"/>
        </w:rPr>
      </w:pPr>
      <w:r>
        <w:rPr>
          <w:rFonts w:cs="Times New Roman" w:ascii="Times New Roman" w:hAnsi="Times New Roman"/>
          <w:b/>
          <w:bCs/>
          <w:sz w:val="24"/>
          <w:szCs w:val="24"/>
        </w:rPr>
        <w:t>Тема:</w:t>
      </w:r>
      <w:r>
        <w:rPr>
          <w:rFonts w:cs="Times New Roman" w:ascii="Times New Roman" w:hAnsi="Times New Roman"/>
          <w:sz w:val="24"/>
          <w:szCs w:val="24"/>
        </w:rPr>
        <w:t xml:space="preserve"> </w:t>
      </w:r>
      <w:r>
        <w:rPr>
          <w:rFonts w:cs="Times New Roman" w:ascii="Times New Roman" w:hAnsi="Times New Roman"/>
          <w:sz w:val="24"/>
          <w:szCs w:val="24"/>
          <w:u w:val="single"/>
        </w:rPr>
        <w:t xml:space="preserve">Разработка типового проекта жилого дома для программы расселения на территории Ленинградской области. </w:t>
      </w:r>
    </w:p>
    <w:p>
      <w:pPr>
        <w:pStyle w:val="Normal"/>
        <w:spacing w:lineRule="auto" w:line="276"/>
        <w:ind w:firstLine="567" w:start="-567"/>
        <w:jc w:val="both"/>
        <w:rPr>
          <w:rFonts w:ascii="Times New Roman" w:hAnsi="Times New Roman" w:cs="Times New Roman"/>
          <w:i/>
          <w:iCs/>
          <w:sz w:val="24"/>
          <w:szCs w:val="24"/>
        </w:rPr>
      </w:pPr>
      <w:r>
        <w:rPr>
          <w:rFonts w:cs="Times New Roman" w:ascii="Times New Roman" w:hAnsi="Times New Roman"/>
          <w:i/>
          <w:iCs/>
          <w:sz w:val="24"/>
          <w:szCs w:val="24"/>
        </w:rPr>
        <w:t>С последующим комплексом проработки всех этапов: от архитектурно</w:t>
        <w:noBreakHyphen/>
        <w:t>строительного проектирования до финансового планирования и управления строительством.</w:t>
      </w:r>
    </w:p>
    <w:p>
      <w:pPr>
        <w:pStyle w:val="Normal"/>
        <w:spacing w:lineRule="auto" w:line="276"/>
        <w:ind w:firstLine="567" w:start="-567"/>
        <w:jc w:val="both"/>
        <w:rPr>
          <w:rFonts w:ascii="Times New Roman" w:hAnsi="Times New Roman" w:cs="Times New Roman"/>
          <w:sz w:val="24"/>
          <w:szCs w:val="24"/>
        </w:rPr>
      </w:pPr>
      <w:r>
        <w:rPr>
          <w:rFonts w:cs="Times New Roman" w:ascii="Times New Roman" w:hAnsi="Times New Roman"/>
          <w:b/>
          <w:bCs/>
          <w:sz w:val="24"/>
          <w:szCs w:val="24"/>
        </w:rPr>
        <w:t>Цель задания:</w:t>
      </w:r>
      <w:r>
        <w:rPr>
          <w:rFonts w:cs="Times New Roman" w:ascii="Times New Roman" w:hAnsi="Times New Roman"/>
          <w:sz w:val="24"/>
          <w:szCs w:val="24"/>
        </w:rPr>
        <w:t xml:space="preserve"> Разработка типового плана этажа многоквартирного жилого дома с возможностью быстрой перепланировки внутри квартир, без внесения конструктивных изменений в несущие элементы здания и основные инженерные сети. Спроектировать план этажа, который включает однокомнатные, двухкомнатные и трёхкомнатные квартиры. Предусмотреть универсальную планировочную схему типового этажа, допускающую модификацию состава квартир за счёт изменения расположения ненесущих перегородок при сохранении:</w:t>
      </w:r>
    </w:p>
    <w:p>
      <w:pPr>
        <w:pStyle w:val="ListParagraph"/>
        <w:numPr>
          <w:ilvl w:val="0"/>
          <w:numId w:val="1"/>
        </w:numPr>
        <w:spacing w:lineRule="auto" w:line="276"/>
        <w:jc w:val="both"/>
        <w:rPr>
          <w:rFonts w:ascii="Times New Roman" w:hAnsi="Times New Roman" w:cs="Times New Roman"/>
          <w:sz w:val="24"/>
          <w:szCs w:val="24"/>
        </w:rPr>
      </w:pPr>
      <w:r>
        <w:rPr>
          <w:rFonts w:cs="Times New Roman" w:ascii="Times New Roman" w:hAnsi="Times New Roman"/>
          <w:sz w:val="24"/>
          <w:szCs w:val="24"/>
        </w:rPr>
        <w:t>общей площади этажа;</w:t>
      </w:r>
    </w:p>
    <w:p>
      <w:pPr>
        <w:pStyle w:val="ListParagraph"/>
        <w:numPr>
          <w:ilvl w:val="0"/>
          <w:numId w:val="1"/>
        </w:numPr>
        <w:spacing w:lineRule="auto" w:line="276"/>
        <w:jc w:val="both"/>
        <w:rPr>
          <w:rFonts w:ascii="Times New Roman" w:hAnsi="Times New Roman" w:cs="Times New Roman"/>
          <w:sz w:val="24"/>
          <w:szCs w:val="24"/>
        </w:rPr>
      </w:pPr>
      <w:r>
        <w:rPr>
          <w:rFonts w:cs="Times New Roman" w:ascii="Times New Roman" w:hAnsi="Times New Roman"/>
          <w:sz w:val="24"/>
          <w:szCs w:val="24"/>
        </w:rPr>
        <w:t>расположения вертикальных коммуникаций (лестнично</w:t>
        <w:noBreakHyphen/>
        <w:t>лифтовой узел, шахты);</w:t>
      </w:r>
    </w:p>
    <w:p>
      <w:pPr>
        <w:pStyle w:val="ListParagraph"/>
        <w:numPr>
          <w:ilvl w:val="0"/>
          <w:numId w:val="1"/>
        </w:numPr>
        <w:spacing w:lineRule="auto" w:line="276"/>
        <w:jc w:val="both"/>
        <w:rPr>
          <w:rFonts w:ascii="Times New Roman" w:hAnsi="Times New Roman" w:cs="Times New Roman"/>
          <w:sz w:val="24"/>
          <w:szCs w:val="24"/>
        </w:rPr>
      </w:pPr>
      <w:r>
        <w:rPr>
          <w:rFonts w:cs="Times New Roman" w:ascii="Times New Roman" w:hAnsi="Times New Roman"/>
          <w:sz w:val="24"/>
          <w:szCs w:val="24"/>
        </w:rPr>
        <w:t>точек подключения инженерных систем (водоснабжение, канализация, электроснабжение, вентиляция);</w:t>
      </w:r>
    </w:p>
    <w:p>
      <w:pPr>
        <w:pStyle w:val="ListParagraph"/>
        <w:numPr>
          <w:ilvl w:val="0"/>
          <w:numId w:val="1"/>
        </w:numPr>
        <w:spacing w:lineRule="auto" w:line="276"/>
        <w:jc w:val="both"/>
        <w:rPr>
          <w:rFonts w:ascii="Times New Roman" w:hAnsi="Times New Roman" w:cs="Times New Roman"/>
          <w:sz w:val="24"/>
          <w:szCs w:val="24"/>
        </w:rPr>
      </w:pPr>
      <w:r>
        <w:rPr>
          <w:rFonts w:cs="Times New Roman" w:ascii="Times New Roman" w:hAnsi="Times New Roman"/>
          <w:sz w:val="24"/>
          <w:szCs w:val="24"/>
        </w:rPr>
        <w:t>нормативных требований по инсоляции, пожарной безопасности и эргономике жилых помещений.</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Исходные данные:</w:t>
      </w:r>
    </w:p>
    <w:p>
      <w:pPr>
        <w:pStyle w:val="Normal"/>
        <w:spacing w:lineRule="auto" w:line="276"/>
        <w:ind w:firstLine="567" w:start="-567"/>
        <w:jc w:val="both"/>
        <w:rPr>
          <w:rFonts w:ascii="Times New Roman" w:hAnsi="Times New Roman" w:cs="Times New Roman"/>
          <w:sz w:val="24"/>
          <w:szCs w:val="24"/>
        </w:rPr>
      </w:pPr>
      <w:r>
        <w:rPr>
          <w:rFonts w:cs="Times New Roman" w:ascii="Times New Roman" w:hAnsi="Times New Roman"/>
          <w:sz w:val="24"/>
          <w:szCs w:val="24"/>
        </w:rPr>
        <w:t>Сведения о земельном участке: Кадастровый номер земельного участка 47:22:0400004:1265. Адрес земельного участка: РФ, Ленинградская область, Волосовский муниципальный район, Волосовское городское поселение, г. Волосово, ул. Юбилейная. Площадь земельного участка 8 012 кв.м; (</w:t>
      </w:r>
      <w:r>
        <w:rPr>
          <w:rFonts w:cs="Times New Roman" w:ascii="Times New Roman" w:hAnsi="Times New Roman"/>
          <w:sz w:val="24"/>
          <w:szCs w:val="24"/>
          <w:lang w:val="en-US"/>
        </w:rPr>
        <w:t>nspd</w:t>
      </w:r>
      <w:r>
        <w:rPr>
          <w:rFonts w:cs="Times New Roman" w:ascii="Times New Roman" w:hAnsi="Times New Roman"/>
          <w:sz w:val="24"/>
          <w:szCs w:val="24"/>
        </w:rPr>
        <w:t>.</w:t>
      </w:r>
      <w:r>
        <w:rPr>
          <w:rFonts w:cs="Times New Roman" w:ascii="Times New Roman" w:hAnsi="Times New Roman"/>
          <w:sz w:val="24"/>
          <w:szCs w:val="24"/>
          <w:lang w:val="en-US"/>
        </w:rPr>
        <w:t>gov</w:t>
      </w:r>
      <w:r>
        <w:rPr>
          <w:rFonts w:cs="Times New Roman" w:ascii="Times New Roman" w:hAnsi="Times New Roman"/>
          <w:sz w:val="24"/>
          <w:szCs w:val="24"/>
        </w:rPr>
        <w:t>.</w:t>
      </w:r>
      <w:r>
        <w:rPr>
          <w:rFonts w:cs="Times New Roman" w:ascii="Times New Roman" w:hAnsi="Times New Roman"/>
          <w:sz w:val="24"/>
          <w:szCs w:val="24"/>
          <w:lang w:val="en-US"/>
        </w:rPr>
        <w:t>ru</w:t>
      </w:r>
      <w:r>
        <w:rPr>
          <w:rFonts w:cs="Times New Roman" w:ascii="Times New Roman" w:hAnsi="Times New Roman"/>
          <w:sz w:val="24"/>
          <w:szCs w:val="24"/>
        </w:rPr>
        <w:t xml:space="preserve"> «Публичная кадастровая карта»)</w:t>
      </w:r>
    </w:p>
    <w:p>
      <w:pPr>
        <w:pStyle w:val="Normal"/>
        <w:spacing w:lineRule="auto" w:line="276"/>
        <w:ind w:firstLine="567" w:start="-567"/>
        <w:jc w:val="center"/>
        <w:rPr>
          <w:rFonts w:ascii="Times New Roman" w:hAnsi="Times New Roman" w:cs="Times New Roman"/>
          <w:sz w:val="24"/>
          <w:szCs w:val="24"/>
        </w:rPr>
      </w:pPr>
      <w:r>
        <w:rPr>
          <w:rFonts w:cs="Times New Roman" w:ascii="Times New Roman" w:hAnsi="Times New Roman"/>
          <w:sz w:val="24"/>
          <w:szCs w:val="24"/>
        </w:rPr>
        <w:t>Техническое задание по квартирографии для строительства многоквартирного дома.</w:t>
      </w:r>
    </w:p>
    <w:tbl>
      <w:tblPr>
        <w:tblW w:w="10099" w:type="dxa"/>
        <w:jc w:val="start"/>
        <w:tblInd w:w="-572" w:type="dxa"/>
        <w:tblLayout w:type="fixed"/>
        <w:tblCellMar>
          <w:top w:w="0" w:type="dxa"/>
          <w:start w:w="108" w:type="dxa"/>
          <w:bottom w:w="0" w:type="dxa"/>
          <w:end w:w="108" w:type="dxa"/>
        </w:tblCellMar>
        <w:tblLook w:firstRow="1" w:noVBand="1" w:lastRow="0" w:firstColumn="1" w:lastColumn="0" w:noHBand="0" w:val="04a0"/>
      </w:tblPr>
      <w:tblGrid>
        <w:gridCol w:w="992"/>
        <w:gridCol w:w="1560"/>
        <w:gridCol w:w="1416"/>
        <w:gridCol w:w="1561"/>
        <w:gridCol w:w="1559"/>
        <w:gridCol w:w="1558"/>
        <w:gridCol w:w="1453"/>
      </w:tblGrid>
      <w:tr>
        <w:trPr>
          <w:trHeight w:val="20" w:hRule="atLeast"/>
        </w:trPr>
        <w:tc>
          <w:tcPr>
            <w:tcW w:w="99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ind w:end="-4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xml:space="preserve">№ </w:t>
            </w:r>
            <w:r>
              <w:rPr>
                <w:rFonts w:eastAsia="Times New Roman" w:cs="Times New Roman" w:ascii="Times New Roman" w:hAnsi="Times New Roman"/>
                <w:color w:val="000000"/>
                <w:sz w:val="20"/>
                <w:szCs w:val="20"/>
                <w:lang w:eastAsia="ru-RU"/>
              </w:rPr>
              <w:t>п/п</w:t>
            </w:r>
          </w:p>
        </w:tc>
        <w:tc>
          <w:tcPr>
            <w:tcW w:w="1560"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Тип квартиры</w:t>
            </w:r>
          </w:p>
        </w:tc>
        <w:tc>
          <w:tcPr>
            <w:tcW w:w="1416"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Типоразмер квартиры</w:t>
            </w:r>
          </w:p>
        </w:tc>
        <w:tc>
          <w:tcPr>
            <w:tcW w:w="1561"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Площадь квартиры по типоразмеру</w:t>
            </w:r>
          </w:p>
        </w:tc>
        <w:tc>
          <w:tcPr>
            <w:tcW w:w="1559"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В т.ч. жилая площадь по типоразмеру</w:t>
            </w:r>
          </w:p>
        </w:tc>
        <w:tc>
          <w:tcPr>
            <w:tcW w:w="1558"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Количество требуемых квартир</w:t>
            </w:r>
          </w:p>
        </w:tc>
        <w:tc>
          <w:tcPr>
            <w:tcW w:w="1453"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Площадь квартир</w:t>
            </w:r>
          </w:p>
        </w:tc>
      </w:tr>
      <w:tr>
        <w:trPr>
          <w:trHeight w:val="20" w:hRule="atLeast"/>
        </w:trPr>
        <w:tc>
          <w:tcPr>
            <w:tcW w:w="992" w:type="dxa"/>
            <w:tcBorders>
              <w:start w:val="single" w:sz="4" w:space="0" w:color="000000"/>
              <w:bottom w:val="single" w:sz="4" w:space="0" w:color="000000"/>
              <w:end w:val="single" w:sz="4" w:space="0" w:color="000000"/>
            </w:tcBorders>
            <w:shd w:color="auto" w:fill="DEEAF6" w:themeFill="accent5" w:themeFillTint="33"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w:t>
            </w:r>
          </w:p>
        </w:tc>
        <w:tc>
          <w:tcPr>
            <w:tcW w:w="1560" w:type="dxa"/>
            <w:tcBorders>
              <w:bottom w:val="single" w:sz="4" w:space="0" w:color="000000"/>
              <w:end w:val="single" w:sz="4" w:space="0" w:color="000000"/>
            </w:tcBorders>
            <w:shd w:color="auto" w:fill="DEEAF6" w:themeFill="accent5" w:themeFillTint="33"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w:t>
            </w:r>
          </w:p>
        </w:tc>
        <w:tc>
          <w:tcPr>
            <w:tcW w:w="1416" w:type="dxa"/>
            <w:tcBorders>
              <w:bottom w:val="single" w:sz="4" w:space="0" w:color="000000"/>
              <w:end w:val="single" w:sz="4" w:space="0" w:color="000000"/>
            </w:tcBorders>
            <w:shd w:color="auto" w:fill="DEEAF6" w:themeFill="accent5" w:themeFillTint="33"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5</w:t>
            </w:r>
          </w:p>
        </w:tc>
        <w:tc>
          <w:tcPr>
            <w:tcW w:w="1561" w:type="dxa"/>
            <w:tcBorders>
              <w:bottom w:val="single" w:sz="4" w:space="0" w:color="000000"/>
              <w:end w:val="single" w:sz="4" w:space="0" w:color="000000"/>
            </w:tcBorders>
            <w:shd w:color="auto" w:fill="DEEAF6" w:themeFill="accent5" w:themeFillTint="33"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6</w:t>
            </w:r>
          </w:p>
        </w:tc>
        <w:tc>
          <w:tcPr>
            <w:tcW w:w="1559" w:type="dxa"/>
            <w:tcBorders>
              <w:bottom w:val="single" w:sz="4" w:space="0" w:color="000000"/>
              <w:end w:val="single" w:sz="4" w:space="0" w:color="000000"/>
            </w:tcBorders>
            <w:shd w:color="auto" w:fill="DEEAF6" w:themeFill="accent5" w:themeFillTint="33"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7</w:t>
            </w:r>
          </w:p>
        </w:tc>
        <w:tc>
          <w:tcPr>
            <w:tcW w:w="1558" w:type="dxa"/>
            <w:tcBorders>
              <w:bottom w:val="single" w:sz="4" w:space="0" w:color="000000"/>
              <w:end w:val="single" w:sz="4" w:space="0" w:color="000000"/>
            </w:tcBorders>
            <w:shd w:color="auto" w:fill="DEEAF6" w:themeFill="accent5" w:themeFillTint="33"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8</w:t>
            </w:r>
          </w:p>
        </w:tc>
        <w:tc>
          <w:tcPr>
            <w:tcW w:w="1453" w:type="dxa"/>
            <w:tcBorders>
              <w:bottom w:val="single" w:sz="4" w:space="0" w:color="000000"/>
              <w:end w:val="single" w:sz="4" w:space="0" w:color="000000"/>
            </w:tcBorders>
            <w:shd w:color="auto" w:fill="DEEAF6" w:themeFill="accent5" w:themeFillTint="33"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9</w:t>
            </w:r>
          </w:p>
        </w:tc>
      </w:tr>
      <w:tr>
        <w:trPr>
          <w:trHeight w:val="20" w:hRule="atLeast"/>
        </w:trPr>
        <w:tc>
          <w:tcPr>
            <w:tcW w:w="992" w:type="dxa"/>
            <w:tcBorders>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w:t>
            </w:r>
          </w:p>
        </w:tc>
        <w:tc>
          <w:tcPr>
            <w:tcW w:w="1560"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1кк</w:t>
            </w:r>
          </w:p>
        </w:tc>
        <w:tc>
          <w:tcPr>
            <w:tcW w:w="1416"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1а</w:t>
            </w:r>
          </w:p>
        </w:tc>
        <w:tc>
          <w:tcPr>
            <w:tcW w:w="1561"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28,00</w:t>
            </w:r>
          </w:p>
        </w:tc>
        <w:tc>
          <w:tcPr>
            <w:tcW w:w="1559"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13,60</w:t>
            </w:r>
          </w:p>
        </w:tc>
        <w:tc>
          <w:tcPr>
            <w:tcW w:w="1558"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15</w:t>
            </w:r>
          </w:p>
        </w:tc>
        <w:tc>
          <w:tcPr>
            <w:tcW w:w="1453"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420,00</w:t>
            </w:r>
          </w:p>
        </w:tc>
      </w:tr>
      <w:tr>
        <w:trPr>
          <w:trHeight w:val="20" w:hRule="atLeast"/>
        </w:trPr>
        <w:tc>
          <w:tcPr>
            <w:tcW w:w="992" w:type="dxa"/>
            <w:tcBorders>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w:t>
            </w:r>
          </w:p>
        </w:tc>
        <w:tc>
          <w:tcPr>
            <w:tcW w:w="1560"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1кк</w:t>
            </w:r>
          </w:p>
        </w:tc>
        <w:tc>
          <w:tcPr>
            <w:tcW w:w="1416"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1б</w:t>
            </w:r>
          </w:p>
        </w:tc>
        <w:tc>
          <w:tcPr>
            <w:tcW w:w="1561"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30,50</w:t>
            </w:r>
          </w:p>
        </w:tc>
        <w:tc>
          <w:tcPr>
            <w:tcW w:w="1559"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17,40</w:t>
            </w:r>
          </w:p>
        </w:tc>
        <w:tc>
          <w:tcPr>
            <w:tcW w:w="1558"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w:t>
            </w:r>
          </w:p>
        </w:tc>
        <w:tc>
          <w:tcPr>
            <w:tcW w:w="1453"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122,00</w:t>
            </w:r>
          </w:p>
        </w:tc>
      </w:tr>
      <w:tr>
        <w:trPr>
          <w:trHeight w:val="20" w:hRule="atLeast"/>
        </w:trPr>
        <w:tc>
          <w:tcPr>
            <w:tcW w:w="992" w:type="dxa"/>
            <w:tcBorders>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w:t>
            </w:r>
          </w:p>
        </w:tc>
        <w:tc>
          <w:tcPr>
            <w:tcW w:w="1560"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1кк</w:t>
            </w:r>
          </w:p>
        </w:tc>
        <w:tc>
          <w:tcPr>
            <w:tcW w:w="1416"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1в</w:t>
            </w:r>
          </w:p>
        </w:tc>
        <w:tc>
          <w:tcPr>
            <w:tcW w:w="1561"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37,10</w:t>
            </w:r>
          </w:p>
        </w:tc>
        <w:tc>
          <w:tcPr>
            <w:tcW w:w="1559"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18,00</w:t>
            </w:r>
          </w:p>
        </w:tc>
        <w:tc>
          <w:tcPr>
            <w:tcW w:w="1558"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5</w:t>
            </w:r>
          </w:p>
        </w:tc>
        <w:tc>
          <w:tcPr>
            <w:tcW w:w="1453"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185,50</w:t>
            </w:r>
          </w:p>
        </w:tc>
      </w:tr>
      <w:tr>
        <w:trPr>
          <w:trHeight w:val="20" w:hRule="atLeast"/>
        </w:trPr>
        <w:tc>
          <w:tcPr>
            <w:tcW w:w="992" w:type="dxa"/>
            <w:tcBorders>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w:t>
            </w:r>
          </w:p>
        </w:tc>
        <w:tc>
          <w:tcPr>
            <w:tcW w:w="1560"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2кк</w:t>
            </w:r>
          </w:p>
        </w:tc>
        <w:tc>
          <w:tcPr>
            <w:tcW w:w="1416"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2а</w:t>
            </w:r>
          </w:p>
        </w:tc>
        <w:tc>
          <w:tcPr>
            <w:tcW w:w="1561"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44,00</w:t>
            </w:r>
          </w:p>
        </w:tc>
        <w:tc>
          <w:tcPr>
            <w:tcW w:w="1559"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23,80</w:t>
            </w:r>
          </w:p>
        </w:tc>
        <w:tc>
          <w:tcPr>
            <w:tcW w:w="1558"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17</w:t>
            </w:r>
          </w:p>
        </w:tc>
        <w:tc>
          <w:tcPr>
            <w:tcW w:w="1453"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748,00</w:t>
            </w:r>
          </w:p>
        </w:tc>
      </w:tr>
      <w:tr>
        <w:trPr>
          <w:trHeight w:val="20" w:hRule="atLeast"/>
        </w:trPr>
        <w:tc>
          <w:tcPr>
            <w:tcW w:w="992" w:type="dxa"/>
            <w:tcBorders>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5</w:t>
            </w:r>
          </w:p>
        </w:tc>
        <w:tc>
          <w:tcPr>
            <w:tcW w:w="1560"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2кк</w:t>
            </w:r>
          </w:p>
        </w:tc>
        <w:tc>
          <w:tcPr>
            <w:tcW w:w="1416"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2б</w:t>
            </w:r>
          </w:p>
        </w:tc>
        <w:tc>
          <w:tcPr>
            <w:tcW w:w="1561"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47,50</w:t>
            </w:r>
          </w:p>
        </w:tc>
        <w:tc>
          <w:tcPr>
            <w:tcW w:w="1559"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30,00</w:t>
            </w:r>
          </w:p>
        </w:tc>
        <w:tc>
          <w:tcPr>
            <w:tcW w:w="1558"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9</w:t>
            </w:r>
          </w:p>
        </w:tc>
        <w:tc>
          <w:tcPr>
            <w:tcW w:w="1453"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427,50</w:t>
            </w:r>
          </w:p>
        </w:tc>
      </w:tr>
      <w:tr>
        <w:trPr>
          <w:trHeight w:val="20" w:hRule="atLeast"/>
        </w:trPr>
        <w:tc>
          <w:tcPr>
            <w:tcW w:w="992" w:type="dxa"/>
            <w:tcBorders>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6</w:t>
            </w:r>
          </w:p>
        </w:tc>
        <w:tc>
          <w:tcPr>
            <w:tcW w:w="1560"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2кк</w:t>
            </w:r>
          </w:p>
        </w:tc>
        <w:tc>
          <w:tcPr>
            <w:tcW w:w="1416"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2в</w:t>
            </w:r>
          </w:p>
        </w:tc>
        <w:tc>
          <w:tcPr>
            <w:tcW w:w="1561"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64,60</w:t>
            </w:r>
          </w:p>
        </w:tc>
        <w:tc>
          <w:tcPr>
            <w:tcW w:w="1559"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33,60</w:t>
            </w:r>
          </w:p>
        </w:tc>
        <w:tc>
          <w:tcPr>
            <w:tcW w:w="1558"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w:t>
            </w:r>
          </w:p>
        </w:tc>
        <w:tc>
          <w:tcPr>
            <w:tcW w:w="1453"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258,40</w:t>
            </w:r>
          </w:p>
        </w:tc>
      </w:tr>
      <w:tr>
        <w:trPr>
          <w:trHeight w:val="20" w:hRule="atLeast"/>
        </w:trPr>
        <w:tc>
          <w:tcPr>
            <w:tcW w:w="992" w:type="dxa"/>
            <w:tcBorders>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7</w:t>
            </w:r>
          </w:p>
        </w:tc>
        <w:tc>
          <w:tcPr>
            <w:tcW w:w="1560"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3кк</w:t>
            </w:r>
          </w:p>
        </w:tc>
        <w:tc>
          <w:tcPr>
            <w:tcW w:w="1416"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3а</w:t>
            </w:r>
          </w:p>
        </w:tc>
        <w:tc>
          <w:tcPr>
            <w:tcW w:w="1561"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56,00</w:t>
            </w:r>
          </w:p>
        </w:tc>
        <w:tc>
          <w:tcPr>
            <w:tcW w:w="1559"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37,00</w:t>
            </w:r>
          </w:p>
        </w:tc>
        <w:tc>
          <w:tcPr>
            <w:tcW w:w="1558"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w:t>
            </w:r>
          </w:p>
        </w:tc>
        <w:tc>
          <w:tcPr>
            <w:tcW w:w="1453"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224,00</w:t>
            </w:r>
          </w:p>
        </w:tc>
      </w:tr>
      <w:tr>
        <w:trPr>
          <w:trHeight w:val="20" w:hRule="atLeast"/>
        </w:trPr>
        <w:tc>
          <w:tcPr>
            <w:tcW w:w="992" w:type="dxa"/>
            <w:tcBorders>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8</w:t>
            </w:r>
          </w:p>
        </w:tc>
        <w:tc>
          <w:tcPr>
            <w:tcW w:w="1560"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3кк</w:t>
            </w:r>
          </w:p>
        </w:tc>
        <w:tc>
          <w:tcPr>
            <w:tcW w:w="1416"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3б</w:t>
            </w:r>
          </w:p>
        </w:tc>
        <w:tc>
          <w:tcPr>
            <w:tcW w:w="1561"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61,30</w:t>
            </w:r>
          </w:p>
        </w:tc>
        <w:tc>
          <w:tcPr>
            <w:tcW w:w="1559"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44,30</w:t>
            </w:r>
          </w:p>
        </w:tc>
        <w:tc>
          <w:tcPr>
            <w:tcW w:w="1558"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w:t>
            </w:r>
          </w:p>
        </w:tc>
        <w:tc>
          <w:tcPr>
            <w:tcW w:w="1453"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183,90</w:t>
            </w:r>
          </w:p>
        </w:tc>
      </w:tr>
      <w:tr>
        <w:trPr>
          <w:trHeight w:val="20" w:hRule="atLeast"/>
        </w:trPr>
        <w:tc>
          <w:tcPr>
            <w:tcW w:w="992" w:type="dxa"/>
            <w:tcBorders>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9</w:t>
            </w:r>
          </w:p>
        </w:tc>
        <w:tc>
          <w:tcPr>
            <w:tcW w:w="1560"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3кк</w:t>
            </w:r>
          </w:p>
        </w:tc>
        <w:tc>
          <w:tcPr>
            <w:tcW w:w="1416"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3в</w:t>
            </w:r>
          </w:p>
        </w:tc>
        <w:tc>
          <w:tcPr>
            <w:tcW w:w="1561"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74,90</w:t>
            </w:r>
          </w:p>
        </w:tc>
        <w:tc>
          <w:tcPr>
            <w:tcW w:w="1559"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54,80</w:t>
            </w:r>
          </w:p>
        </w:tc>
        <w:tc>
          <w:tcPr>
            <w:tcW w:w="1558"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2</w:t>
            </w:r>
          </w:p>
        </w:tc>
        <w:tc>
          <w:tcPr>
            <w:tcW w:w="1453"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149,80</w:t>
            </w:r>
          </w:p>
        </w:tc>
      </w:tr>
      <w:tr>
        <w:trPr>
          <w:trHeight w:val="20" w:hRule="atLeast"/>
        </w:trPr>
        <w:tc>
          <w:tcPr>
            <w:tcW w:w="992" w:type="dxa"/>
            <w:tcBorders>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ИТОГО</w:t>
            </w:r>
          </w:p>
        </w:tc>
        <w:tc>
          <w:tcPr>
            <w:tcW w:w="1560" w:type="dxa"/>
            <w:tcBorders>
              <w:bottom w:val="single" w:sz="4" w:space="0" w:color="000000"/>
              <w:end w:val="single" w:sz="4" w:space="0" w:color="000000"/>
            </w:tcBorders>
            <w:shd w:color="000000" w:fill="FFFFFF"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 </w:t>
            </w:r>
          </w:p>
        </w:tc>
        <w:tc>
          <w:tcPr>
            <w:tcW w:w="1416"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b/>
                <w:bCs/>
                <w:color w:val="000000"/>
                <w:sz w:val="20"/>
                <w:szCs w:val="20"/>
                <w:lang w:eastAsia="ru-RU"/>
              </w:rPr>
              <w:t> </w:t>
            </w:r>
          </w:p>
        </w:tc>
        <w:tc>
          <w:tcPr>
            <w:tcW w:w="1561"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b/>
                <w:bCs/>
                <w:color w:val="000000"/>
                <w:sz w:val="20"/>
                <w:szCs w:val="20"/>
                <w:lang w:eastAsia="ru-RU"/>
              </w:rPr>
              <w:t> </w:t>
            </w:r>
          </w:p>
        </w:tc>
        <w:tc>
          <w:tcPr>
            <w:tcW w:w="1559"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1558"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b/>
                <w:bCs/>
                <w:color w:val="000000"/>
                <w:sz w:val="20"/>
                <w:szCs w:val="20"/>
                <w:lang w:eastAsia="ru-RU"/>
              </w:rPr>
              <w:t>63</w:t>
            </w:r>
          </w:p>
        </w:tc>
        <w:tc>
          <w:tcPr>
            <w:tcW w:w="1453" w:type="dxa"/>
            <w:tcBorders>
              <w:bottom w:val="single" w:sz="4" w:space="0" w:color="000000"/>
              <w:end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b/>
                <w:bCs/>
                <w:color w:val="000000"/>
                <w:sz w:val="20"/>
                <w:szCs w:val="20"/>
                <w:lang w:eastAsia="ru-RU"/>
              </w:rPr>
              <w:t>2719,10</w:t>
            </w:r>
          </w:p>
        </w:tc>
      </w:tr>
    </w:tbl>
    <w:p>
      <w:pPr>
        <w:pStyle w:val="Normal"/>
        <w:spacing w:lineRule="auto" w:line="276"/>
        <w:ind w:firstLine="567" w:start="-567"/>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ind w:firstLine="567" w:start="-567"/>
        <w:jc w:val="both"/>
        <w:rPr>
          <w:rFonts w:ascii="Times New Roman" w:hAnsi="Times New Roman" w:cs="Times New Roman"/>
          <w:i/>
          <w:iCs/>
        </w:rPr>
      </w:pPr>
      <w:r>
        <w:rPr>
          <w:rFonts w:cs="Times New Roman" w:ascii="Times New Roman" w:hAnsi="Times New Roman"/>
          <w:i/>
          <w:iCs/>
        </w:rPr>
        <w:t>*По состоянию на 10.02.2026 года в составе переселяемых граждан отсутствуют инвалиды группы М4 (Инвалиды, передвигающиеся на креслах-колясках, приводимых в движение вручную).</w:t>
      </w:r>
    </w:p>
    <w:p>
      <w:pPr>
        <w:pStyle w:val="Normal"/>
        <w:spacing w:lineRule="auto" w:line="276" w:before="0" w:after="0"/>
        <w:ind w:firstLine="567" w:start="-567"/>
        <w:jc w:val="both"/>
        <w:rPr>
          <w:rFonts w:ascii="Times New Roman" w:hAnsi="Times New Roman" w:cs="Times New Roman"/>
          <w:b/>
          <w:bCs/>
          <w:sz w:val="24"/>
          <w:szCs w:val="24"/>
        </w:rPr>
      </w:pPr>
      <w:r>
        <w:rPr>
          <w:rFonts w:cs="Times New Roman" w:ascii="Times New Roman" w:hAnsi="Times New Roman"/>
          <w:b/>
          <w:bCs/>
          <w:sz w:val="24"/>
          <w:szCs w:val="24"/>
        </w:rPr>
        <w:t>Техническое задание:</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Зафиксировать этажность зданий — 5 этажей, без лифтов.</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Исключить мусоропроводы.</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Зафиксировать высоту типового жилого этажа — 3 м от уровня пола жилого этажа до уровня пола следующего жилого этажа.</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Предусмотреть балконы/лоджии/витражи, не входящие в S квартир.</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Высота пола жилых квартир первого этажа должна быть выше уровня благоустройства на прилегающей территории не менее чем на 1000 мм.</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 xml:space="preserve">Конструктивный тип здания - Несущий железобетонный каркас </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Учитывать требования эргономики эксплуатации помещений.</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Технические помещения (электрощитовая, вентиляционная камера и т. д.) разместить компактно, не занимая полезную площадь квартир.</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Предусмотреть централизованные стояки водоснабжения, канализации, отопления и вентиляции.</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Расположить инженерные коммуникации так, чтобы они не препятствовали перепланировке.</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Соблюдать действующие строительные нормы и правила НТД.</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Учитывать требования доступности для маломобильных групп населения: пандусы, подъемники, широкие дверные проёмы.</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Разработать схемы входных групп с учётом входа с отметки уровня благоустройства и перепадом крыльца не более 150 мм.</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Предусматривать колясочную и помещение уборочного инвентаря (ПУИ)</w:t>
      </w:r>
    </w:p>
    <w:p>
      <w:pPr>
        <w:pStyle w:val="ListParagraph"/>
        <w:numPr>
          <w:ilvl w:val="0"/>
          <w:numId w:val="2"/>
        </w:numPr>
        <w:spacing w:lineRule="auto" w:line="276" w:before="0" w:after="0"/>
        <w:ind w:hanging="283" w:start="567"/>
        <w:contextualSpacing/>
        <w:jc w:val="both"/>
        <w:rPr>
          <w:rFonts w:ascii="Times New Roman" w:hAnsi="Times New Roman" w:cs="Times New Roman"/>
          <w:sz w:val="24"/>
          <w:szCs w:val="24"/>
        </w:rPr>
      </w:pPr>
      <w:r>
        <w:rPr>
          <w:rFonts w:cs="Times New Roman" w:ascii="Times New Roman" w:hAnsi="Times New Roman"/>
          <w:sz w:val="24"/>
          <w:szCs w:val="24"/>
        </w:rPr>
        <w:t>Разработать графическую схему поэтажного коридора с выделением ниш для коммуникаций, указанием дверей.</w:t>
      </w:r>
    </w:p>
    <w:p>
      <w:pPr>
        <w:pStyle w:val="ListParagraph"/>
        <w:spacing w:lineRule="auto" w:line="276" w:before="0" w:after="0"/>
        <w:ind w:start="567"/>
        <w:contextualSpacing/>
        <w:jc w:val="both"/>
        <w:rPr>
          <w:rFonts w:ascii="Times New Roman" w:hAnsi="Times New Roman" w:cs="Times New Roman"/>
          <w:sz w:val="24"/>
          <w:szCs w:val="24"/>
        </w:rPr>
      </w:pPr>
      <w:r>
        <w:rPr>
          <w:rFonts w:cs="Times New Roman" w:ascii="Times New Roman" w:hAnsi="Times New Roman"/>
          <w:sz w:val="24"/>
          <w:szCs w:val="24"/>
        </w:rPr>
        <w:t>_______________________________________</w:t>
      </w:r>
    </w:p>
    <w:p>
      <w:pPr>
        <w:pStyle w:val="Normal"/>
        <w:spacing w:lineRule="auto" w:line="276" w:before="0" w:after="0"/>
        <w:ind w:firstLine="567" w:start="-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firstLine="567" w:start="-567"/>
        <w:jc w:val="both"/>
        <w:rPr>
          <w:rFonts w:ascii="Times New Roman" w:hAnsi="Times New Roman" w:cs="Times New Roman"/>
          <w:sz w:val="24"/>
          <w:szCs w:val="24"/>
        </w:rPr>
      </w:pPr>
      <w:r>
        <w:rPr>
          <w:rFonts w:cs="Times New Roman" w:ascii="Times New Roman" w:hAnsi="Times New Roman"/>
          <w:sz w:val="24"/>
          <w:szCs w:val="24"/>
        </w:rPr>
        <w:t>Архитектурные решения фасадов</w:t>
      </w:r>
    </w:p>
    <w:p>
      <w:pPr>
        <w:pStyle w:val="ListParagraph"/>
        <w:numPr>
          <w:ilvl w:val="0"/>
          <w:numId w:val="3"/>
        </w:numPr>
        <w:spacing w:lineRule="auto" w:line="276" w:before="0" w:after="0"/>
        <w:ind w:hanging="284" w:start="426"/>
        <w:contextualSpacing/>
        <w:jc w:val="both"/>
        <w:rPr>
          <w:rFonts w:ascii="Times New Roman" w:hAnsi="Times New Roman" w:cs="Times New Roman"/>
          <w:sz w:val="24"/>
          <w:szCs w:val="24"/>
        </w:rPr>
      </w:pPr>
      <w:r>
        <w:rPr>
          <w:rFonts w:cs="Times New Roman" w:ascii="Times New Roman" w:hAnsi="Times New Roman"/>
          <w:sz w:val="24"/>
          <w:szCs w:val="24"/>
        </w:rPr>
        <w:t>Разработать 2 варианта архитектурного решения фасадов по цветам и материалам с учётом требований дизайн кода района.</w:t>
      </w:r>
    </w:p>
    <w:p>
      <w:pPr>
        <w:pStyle w:val="ListParagraph"/>
        <w:numPr>
          <w:ilvl w:val="0"/>
          <w:numId w:val="3"/>
        </w:numPr>
        <w:spacing w:lineRule="auto" w:line="276" w:before="0" w:after="0"/>
        <w:ind w:hanging="284" w:start="426"/>
        <w:contextualSpacing/>
        <w:jc w:val="both"/>
        <w:rPr>
          <w:rFonts w:ascii="Times New Roman" w:hAnsi="Times New Roman" w:cs="Times New Roman"/>
          <w:sz w:val="24"/>
          <w:szCs w:val="24"/>
        </w:rPr>
      </w:pPr>
      <w:r>
        <w:rPr>
          <w:rFonts w:cs="Times New Roman" w:ascii="Times New Roman" w:hAnsi="Times New Roman"/>
          <w:sz w:val="24"/>
          <w:szCs w:val="24"/>
        </w:rPr>
        <w:t>Зафиксировать типовые размеры оконных проёмов и высоту подоконников для жилых квартир:</w:t>
      </w:r>
    </w:p>
    <w:p>
      <w:pPr>
        <w:pStyle w:val="ListParagraph"/>
        <w:numPr>
          <w:ilvl w:val="0"/>
          <w:numId w:val="4"/>
        </w:numPr>
        <w:spacing w:lineRule="auto" w:line="276" w:before="0" w:after="0"/>
        <w:contextualSpacing/>
        <w:jc w:val="both"/>
        <w:rPr>
          <w:rFonts w:ascii="Times New Roman" w:hAnsi="Times New Roman" w:cs="Times New Roman"/>
          <w:sz w:val="24"/>
          <w:szCs w:val="24"/>
        </w:rPr>
      </w:pPr>
      <w:r>
        <w:rPr>
          <w:rFonts w:cs="Times New Roman" w:ascii="Times New Roman" w:hAnsi="Times New Roman"/>
          <w:sz w:val="24"/>
          <w:szCs w:val="24"/>
        </w:rPr>
        <w:t>высота подоконников — 900 мм (допускается 850 мм);</w:t>
      </w:r>
    </w:p>
    <w:p>
      <w:pPr>
        <w:pStyle w:val="ListParagraph"/>
        <w:numPr>
          <w:ilvl w:val="0"/>
          <w:numId w:val="4"/>
        </w:numPr>
        <w:spacing w:lineRule="auto" w:line="276" w:before="0" w:after="0"/>
        <w:contextualSpacing/>
        <w:jc w:val="both"/>
        <w:rPr>
          <w:rFonts w:ascii="Times New Roman" w:hAnsi="Times New Roman" w:cs="Times New Roman"/>
          <w:sz w:val="24"/>
          <w:szCs w:val="24"/>
        </w:rPr>
      </w:pPr>
      <w:r>
        <w:rPr>
          <w:rFonts w:cs="Times New Roman" w:ascii="Times New Roman" w:hAnsi="Times New Roman"/>
          <w:sz w:val="24"/>
          <w:szCs w:val="24"/>
        </w:rPr>
        <w:t>высота окна — 1500 мм (допускается 1600 мм);</w:t>
      </w:r>
    </w:p>
    <w:p>
      <w:pPr>
        <w:pStyle w:val="ListParagraph"/>
        <w:numPr>
          <w:ilvl w:val="0"/>
          <w:numId w:val="3"/>
        </w:numPr>
        <w:spacing w:lineRule="auto" w:line="276"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Предложить 2 варианта планировочных решений типовых планов этажей (отдельно для первого этажа, с учетом расположения технических помещений) </w:t>
      </w:r>
    </w:p>
    <w:p>
      <w:pPr>
        <w:pStyle w:val="Normal"/>
        <w:ind w:firstLine="567" w:start="-567"/>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Оформление работы:</w:t>
      </w:r>
    </w:p>
    <w:p>
      <w:pPr>
        <w:pStyle w:val="ListParagraph"/>
        <w:numPr>
          <w:ilvl w:val="0"/>
          <w:numId w:val="5"/>
        </w:numPr>
        <w:jc w:val="both"/>
        <w:rPr>
          <w:rFonts w:ascii="Times New Roman" w:hAnsi="Times New Roman" w:cs="Times New Roman"/>
        </w:rPr>
      </w:pPr>
      <w:r>
        <w:rPr>
          <w:rFonts w:cs="Times New Roman" w:ascii="Times New Roman" w:hAnsi="Times New Roman"/>
        </w:rPr>
        <w:t>На 1 листе читаемого формата расположить:</w:t>
      </w:r>
    </w:p>
    <w:p>
      <w:pPr>
        <w:pStyle w:val="ListParagraph"/>
        <w:jc w:val="both"/>
        <w:rPr>
          <w:rFonts w:ascii="Times New Roman" w:hAnsi="Times New Roman" w:cs="Times New Roman"/>
        </w:rPr>
      </w:pPr>
      <w:r>
        <w:rPr>
          <w:rFonts w:cs="Times New Roman" w:ascii="Times New Roman" w:hAnsi="Times New Roman"/>
        </w:rPr>
        <w:t xml:space="preserve">- Маркировочные планы вариантов этажей с указанием экспликации помещений и площади квартир </w:t>
      </w:r>
    </w:p>
    <w:p>
      <w:pPr>
        <w:pStyle w:val="ListParagraph"/>
        <w:jc w:val="both"/>
        <w:rPr>
          <w:rFonts w:ascii="Times New Roman" w:hAnsi="Times New Roman" w:cs="Times New Roman"/>
        </w:rPr>
      </w:pPr>
      <w:r>
        <w:rPr>
          <w:rFonts w:cs="Times New Roman" w:ascii="Times New Roman" w:hAnsi="Times New Roman"/>
        </w:rPr>
        <w:t>- Варианты фасадов с указанием типа отделочного материала и цветового решения</w:t>
      </w:r>
    </w:p>
    <w:p>
      <w:pPr>
        <w:pStyle w:val="ListParagraph"/>
        <w:jc w:val="both"/>
        <w:rPr>
          <w:rFonts w:ascii="Times New Roman" w:hAnsi="Times New Roman" w:cs="Times New Roman"/>
        </w:rPr>
      </w:pPr>
      <w:r>
        <w:rPr>
          <w:rFonts w:cs="Times New Roman" w:ascii="Times New Roman" w:hAnsi="Times New Roman"/>
        </w:rPr>
        <w:t>- Ведомость объёмов работ</w:t>
      </w:r>
    </w:p>
    <w:p>
      <w:pPr>
        <w:pStyle w:val="ListParagraph"/>
        <w:jc w:val="both"/>
        <w:rPr>
          <w:rFonts w:ascii="Times New Roman" w:hAnsi="Times New Roman" w:cs="Times New Roman"/>
        </w:rPr>
      </w:pPr>
      <w:r>
        <w:rPr>
          <w:rFonts w:cs="Times New Roman" w:ascii="Times New Roman" w:hAnsi="Times New Roman"/>
        </w:rPr>
        <w:t>2. На 2 листе в зависимости от направления подготовки обучения подготовить:</w:t>
      </w:r>
    </w:p>
    <w:p>
      <w:pPr>
        <w:pStyle w:val="ListParagraph"/>
        <w:jc w:val="both"/>
        <w:rPr>
          <w:rFonts w:ascii="Times New Roman" w:hAnsi="Times New Roman" w:cs="Times New Roman"/>
        </w:rPr>
      </w:pPr>
      <w:r>
        <w:rPr>
          <w:rFonts w:cs="Times New Roman" w:ascii="Times New Roman" w:hAnsi="Times New Roman"/>
        </w:rPr>
        <w:t>2.1. Для направления организации и управления строительством</w:t>
      </w:r>
    </w:p>
    <w:p>
      <w:pPr>
        <w:pStyle w:val="ListParagraph"/>
        <w:jc w:val="both"/>
        <w:rPr>
          <w:rFonts w:ascii="Times New Roman" w:hAnsi="Times New Roman" w:cs="Times New Roman"/>
        </w:rPr>
      </w:pPr>
      <w:r>
        <w:rPr>
          <w:rFonts w:cs="Times New Roman" w:ascii="Times New Roman" w:hAnsi="Times New Roman"/>
        </w:rPr>
        <w:t>- Детальный ВОР</w:t>
      </w:r>
    </w:p>
    <w:p>
      <w:pPr>
        <w:pStyle w:val="ListParagraph"/>
        <w:jc w:val="both"/>
        <w:rPr>
          <w:rFonts w:ascii="Times New Roman" w:hAnsi="Times New Roman" w:cs="Times New Roman"/>
        </w:rPr>
      </w:pPr>
      <w:r>
        <w:rPr>
          <w:rFonts w:cs="Times New Roman" w:ascii="Times New Roman" w:hAnsi="Times New Roman"/>
        </w:rPr>
        <w:t>- Проект организации строительства</w:t>
      </w:r>
    </w:p>
    <w:p>
      <w:pPr>
        <w:pStyle w:val="ListParagraph"/>
        <w:jc w:val="both"/>
        <w:rPr>
          <w:rFonts w:ascii="Times New Roman" w:hAnsi="Times New Roman" w:cs="Times New Roman"/>
        </w:rPr>
      </w:pPr>
      <w:r>
        <w:rPr>
          <w:rFonts w:cs="Times New Roman" w:ascii="Times New Roman" w:hAnsi="Times New Roman"/>
        </w:rPr>
        <w:t xml:space="preserve">- Определить виды и объёмы работ для заключения договоров с субподрядными организациями </w:t>
      </w:r>
    </w:p>
    <w:p>
      <w:pPr>
        <w:pStyle w:val="ListParagraph"/>
        <w:jc w:val="both"/>
        <w:rPr>
          <w:rFonts w:ascii="Times New Roman" w:hAnsi="Times New Roman" w:cs="Times New Roman"/>
        </w:rPr>
      </w:pPr>
      <w:r>
        <w:rPr>
          <w:rFonts w:cs="Times New Roman" w:ascii="Times New Roman" w:hAnsi="Times New Roman"/>
        </w:rPr>
        <w:t>2.2. Для финансового планирования строительством</w:t>
      </w:r>
    </w:p>
    <w:p>
      <w:pPr>
        <w:pStyle w:val="ListParagraph"/>
        <w:jc w:val="both"/>
        <w:rPr>
          <w:rFonts w:ascii="Times New Roman" w:hAnsi="Times New Roman" w:cs="Times New Roman"/>
        </w:rPr>
      </w:pPr>
      <w:r>
        <w:rPr>
          <w:rFonts w:cs="Times New Roman" w:ascii="Times New Roman" w:hAnsi="Times New Roman"/>
        </w:rPr>
        <w:t>- Детальный ВОР</w:t>
      </w:r>
    </w:p>
    <w:p>
      <w:pPr>
        <w:pStyle w:val="ListParagraph"/>
        <w:jc w:val="both"/>
        <w:rPr>
          <w:rFonts w:ascii="Times New Roman" w:hAnsi="Times New Roman" w:cs="Times New Roman"/>
        </w:rPr>
      </w:pPr>
      <w:r>
        <w:rPr>
          <w:rFonts w:cs="Times New Roman" w:ascii="Times New Roman" w:hAnsi="Times New Roman"/>
        </w:rPr>
        <w:t>- Конъюнктурный анализ цен (КАЦ)</w:t>
      </w:r>
    </w:p>
    <w:p>
      <w:pPr>
        <w:pStyle w:val="ListParagraph"/>
        <w:jc w:val="both"/>
        <w:rPr>
          <w:rFonts w:ascii="Times New Roman" w:hAnsi="Times New Roman" w:cs="Times New Roman"/>
        </w:rPr>
      </w:pPr>
      <w:r>
        <w:rPr>
          <w:rFonts w:cs="Times New Roman" w:ascii="Times New Roman" w:hAnsi="Times New Roman"/>
        </w:rPr>
        <w:t xml:space="preserve">- Смета объекта ресурсно - индексным методом </w:t>
      </w:r>
    </w:p>
    <w:p>
      <w:pPr>
        <w:pStyle w:val="ListParagraph"/>
        <w:jc w:val="both"/>
        <w:rPr>
          <w:rFonts w:ascii="Times New Roman" w:hAnsi="Times New Roman" w:cs="Times New Roman"/>
        </w:rPr>
      </w:pPr>
      <w:r>
        <w:rPr>
          <w:rFonts w:cs="Times New Roman" w:ascii="Times New Roman" w:hAnsi="Times New Roman"/>
        </w:rPr>
        <w:t>2.3. Для архитектурно-строительного направления</w:t>
      </w:r>
    </w:p>
    <w:p>
      <w:pPr>
        <w:pStyle w:val="ListParagraph"/>
        <w:jc w:val="both"/>
        <w:rPr>
          <w:rFonts w:ascii="Times New Roman" w:hAnsi="Times New Roman" w:cs="Times New Roman"/>
        </w:rPr>
      </w:pPr>
      <w:r>
        <w:rPr>
          <w:rFonts w:cs="Times New Roman" w:ascii="Times New Roman" w:hAnsi="Times New Roman"/>
        </w:rPr>
        <w:t>- Разработка отдельных конструктивных узлов</w:t>
      </w:r>
    </w:p>
    <w:p>
      <w:pPr>
        <w:pStyle w:val="ListParagraph"/>
        <w:jc w:val="both"/>
        <w:rPr>
          <w:rFonts w:ascii="Times New Roman" w:hAnsi="Times New Roman" w:cs="Times New Roman"/>
        </w:rPr>
      </w:pPr>
      <w:r>
        <w:rPr>
          <w:rFonts w:cs="Times New Roman" w:ascii="Times New Roman" w:hAnsi="Times New Roman"/>
        </w:rPr>
        <w:t>- Разрезы</w:t>
      </w:r>
    </w:p>
    <w:p>
      <w:pPr>
        <w:pStyle w:val="ListParagraph"/>
        <w:jc w:val="both"/>
        <w:rPr>
          <w:rFonts w:ascii="Times New Roman" w:hAnsi="Times New Roman" w:cs="Times New Roman"/>
        </w:rPr>
      </w:pPr>
      <w:r>
        <w:rPr>
          <w:rFonts w:cs="Times New Roman" w:ascii="Times New Roman" w:hAnsi="Times New Roman"/>
        </w:rPr>
        <w:t>- Спецификация применяемых материалов</w:t>
      </w:r>
    </w:p>
    <w:p>
      <w:pPr>
        <w:pStyle w:val="ListParagraph"/>
        <w:spacing w:before="0" w:after="160"/>
        <w:contextualSpacing/>
        <w:jc w:val="both"/>
        <w:rPr>
          <w:rFonts w:ascii="Times New Roman" w:hAnsi="Times New Roman" w:cs="Times New Roman"/>
        </w:rPr>
      </w:pPr>
      <w:r>
        <w:rPr>
          <w:rFonts w:cs="Times New Roman" w:ascii="Times New Roman" w:hAnsi="Times New Roman"/>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Segoe UI">
    <w:charset w:val="cc" w:characterSet="windows-1251"/>
    <w:family w:val="swiss"/>
    <w:pitch w:val="variable"/>
  </w:font>
  <w:font w:name="Liberation Sans">
    <w:altName w:val="Arial"/>
    <w:charset w:val="cc" w:characterSet="windows-1251"/>
    <w:family w:val="swiss"/>
    <w:pitch w:val="variable"/>
  </w:font>
  <w:font w:name="Times New Roman">
    <w:charset w:val="cc" w:characterSet="windows-125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decimal"/>
      <w:lvlText w:val="%1."/>
      <w:lvlJc w:val="start"/>
      <w:pPr>
        <w:tabs>
          <w:tab w:val="num" w:pos="0"/>
        </w:tabs>
        <w:ind w:start="643"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bullet"/>
      <w:lvlText w:val=""/>
      <w:lvlJc w:val="start"/>
      <w:pPr>
        <w:tabs>
          <w:tab w:val="num" w:pos="0"/>
        </w:tabs>
        <w:ind w:start="1146" w:hanging="360"/>
      </w:pPr>
      <w:rPr>
        <w:rFonts w:ascii="Symbol" w:hAnsi="Symbol" w:cs="Symbol" w:hint="default"/>
      </w:rPr>
    </w:lvl>
    <w:lvl w:ilvl="1">
      <w:start w:val="1"/>
      <w:numFmt w:val="bullet"/>
      <w:lvlText w:val="o"/>
      <w:lvlJc w:val="start"/>
      <w:pPr>
        <w:tabs>
          <w:tab w:val="num" w:pos="0"/>
        </w:tabs>
        <w:ind w:start="1866" w:hanging="360"/>
      </w:pPr>
      <w:rPr>
        <w:rFonts w:ascii="Courier New" w:hAnsi="Courier New" w:cs="Courier New" w:hint="default"/>
      </w:rPr>
    </w:lvl>
    <w:lvl w:ilvl="2">
      <w:start w:val="1"/>
      <w:numFmt w:val="bullet"/>
      <w:lvlText w:val=""/>
      <w:lvlJc w:val="start"/>
      <w:pPr>
        <w:tabs>
          <w:tab w:val="num" w:pos="0"/>
        </w:tabs>
        <w:ind w:start="2586" w:hanging="360"/>
      </w:pPr>
      <w:rPr>
        <w:rFonts w:ascii="Wingdings" w:hAnsi="Wingdings" w:cs="Wingdings" w:hint="default"/>
      </w:rPr>
    </w:lvl>
    <w:lvl w:ilvl="3">
      <w:start w:val="1"/>
      <w:numFmt w:val="bullet"/>
      <w:lvlText w:val=""/>
      <w:lvlJc w:val="start"/>
      <w:pPr>
        <w:tabs>
          <w:tab w:val="num" w:pos="0"/>
        </w:tabs>
        <w:ind w:start="3306" w:hanging="360"/>
      </w:pPr>
      <w:rPr>
        <w:rFonts w:ascii="Symbol" w:hAnsi="Symbol" w:cs="Symbol" w:hint="default"/>
      </w:rPr>
    </w:lvl>
    <w:lvl w:ilvl="4">
      <w:start w:val="1"/>
      <w:numFmt w:val="bullet"/>
      <w:lvlText w:val="o"/>
      <w:lvlJc w:val="start"/>
      <w:pPr>
        <w:tabs>
          <w:tab w:val="num" w:pos="0"/>
        </w:tabs>
        <w:ind w:start="4026" w:hanging="360"/>
      </w:pPr>
      <w:rPr>
        <w:rFonts w:ascii="Courier New" w:hAnsi="Courier New" w:cs="Courier New" w:hint="default"/>
      </w:rPr>
    </w:lvl>
    <w:lvl w:ilvl="5">
      <w:start w:val="1"/>
      <w:numFmt w:val="bullet"/>
      <w:lvlText w:val=""/>
      <w:lvlJc w:val="start"/>
      <w:pPr>
        <w:tabs>
          <w:tab w:val="num" w:pos="0"/>
        </w:tabs>
        <w:ind w:start="4746" w:hanging="360"/>
      </w:pPr>
      <w:rPr>
        <w:rFonts w:ascii="Wingdings" w:hAnsi="Wingdings" w:cs="Wingdings" w:hint="default"/>
      </w:rPr>
    </w:lvl>
    <w:lvl w:ilvl="6">
      <w:start w:val="1"/>
      <w:numFmt w:val="bullet"/>
      <w:lvlText w:val=""/>
      <w:lvlJc w:val="start"/>
      <w:pPr>
        <w:tabs>
          <w:tab w:val="num" w:pos="0"/>
        </w:tabs>
        <w:ind w:start="5466" w:hanging="360"/>
      </w:pPr>
      <w:rPr>
        <w:rFonts w:ascii="Symbol" w:hAnsi="Symbol" w:cs="Symbol" w:hint="default"/>
      </w:rPr>
    </w:lvl>
    <w:lvl w:ilvl="7">
      <w:start w:val="1"/>
      <w:numFmt w:val="bullet"/>
      <w:lvlText w:val="o"/>
      <w:lvlJc w:val="start"/>
      <w:pPr>
        <w:tabs>
          <w:tab w:val="num" w:pos="0"/>
        </w:tabs>
        <w:ind w:start="6186" w:hanging="360"/>
      </w:pPr>
      <w:rPr>
        <w:rFonts w:ascii="Courier New" w:hAnsi="Courier New" w:cs="Courier New" w:hint="default"/>
      </w:rPr>
    </w:lvl>
    <w:lvl w:ilvl="8">
      <w:start w:val="1"/>
      <w:numFmt w:val="bullet"/>
      <w:lvlText w:val=""/>
      <w:lvlJc w:val="start"/>
      <w:pPr>
        <w:tabs>
          <w:tab w:val="num" w:pos="0"/>
        </w:tabs>
        <w:ind w:start="6906" w:hanging="360"/>
      </w:pPr>
      <w:rPr>
        <w:rFonts w:ascii="Wingdings" w:hAnsi="Wingdings" w:cs="Wingdings" w:hint="default"/>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CommentReference">
    <w:name w:val="annotation reference"/>
    <w:basedOn w:val="DefaultParagraphFont"/>
    <w:uiPriority w:val="99"/>
    <w:semiHidden/>
    <w:unhideWhenUsed/>
    <w:qFormat/>
    <w:rsid w:val="003c70bd"/>
    <w:rPr>
      <w:sz w:val="16"/>
      <w:szCs w:val="16"/>
    </w:rPr>
  </w:style>
  <w:style w:type="character" w:styleId="Style14" w:customStyle="1">
    <w:name w:val="Текст примечания Знак"/>
    <w:basedOn w:val="DefaultParagraphFont"/>
    <w:uiPriority w:val="99"/>
    <w:semiHidden/>
    <w:qFormat/>
    <w:rsid w:val="003c70bd"/>
    <w:rPr>
      <w:sz w:val="20"/>
      <w:szCs w:val="20"/>
    </w:rPr>
  </w:style>
  <w:style w:type="character" w:styleId="Style15" w:customStyle="1">
    <w:name w:val="Тема примечания Знак"/>
    <w:basedOn w:val="Style14"/>
    <w:link w:val="annotationsubject"/>
    <w:uiPriority w:val="99"/>
    <w:semiHidden/>
    <w:qFormat/>
    <w:rsid w:val="003c70bd"/>
    <w:rPr>
      <w:b/>
      <w:bCs/>
      <w:sz w:val="20"/>
      <w:szCs w:val="20"/>
    </w:rPr>
  </w:style>
  <w:style w:type="character" w:styleId="Style16" w:customStyle="1">
    <w:name w:val="Текст выноски Знак"/>
    <w:basedOn w:val="DefaultParagraphFont"/>
    <w:link w:val="BalloonText"/>
    <w:uiPriority w:val="99"/>
    <w:semiHidden/>
    <w:qFormat/>
    <w:rsid w:val="003c70bd"/>
    <w:rPr>
      <w:rFonts w:ascii="Segoe UI" w:hAnsi="Segoe UI" w:cs="Segoe UI"/>
      <w:sz w:val="18"/>
      <w:szCs w:val="18"/>
    </w:rPr>
  </w:style>
  <w:style w:type="paragraph" w:styleId="Style1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ListParagraph">
    <w:name w:val="List Paragraph"/>
    <w:basedOn w:val="Normal"/>
    <w:uiPriority w:val="34"/>
    <w:qFormat/>
    <w:rsid w:val="00f16747"/>
    <w:pPr>
      <w:spacing w:before="0" w:after="160"/>
      <w:ind w:start="720"/>
      <w:contextualSpacing/>
    </w:pPr>
    <w:rPr/>
  </w:style>
  <w:style w:type="paragraph" w:styleId="CommentText">
    <w:name w:val="annotation text"/>
    <w:basedOn w:val="Normal"/>
    <w:link w:val="Style14"/>
    <w:uiPriority w:val="99"/>
    <w:semiHidden/>
    <w:unhideWhenUsed/>
    <w:rsid w:val="003c70bd"/>
    <w:pPr>
      <w:spacing w:lineRule="auto" w:line="240"/>
    </w:pPr>
    <w:rPr>
      <w:sz w:val="20"/>
      <w:szCs w:val="20"/>
    </w:rPr>
  </w:style>
  <w:style w:type="paragraph" w:styleId="annotationsubject">
    <w:name w:val="annotation subject"/>
    <w:basedOn w:val="CommentText"/>
    <w:next w:val="CommentText"/>
    <w:link w:val="Style15"/>
    <w:uiPriority w:val="99"/>
    <w:semiHidden/>
    <w:unhideWhenUsed/>
    <w:qFormat/>
    <w:rsid w:val="003c70bd"/>
    <w:pPr/>
    <w:rPr>
      <w:b/>
      <w:bCs/>
    </w:rPr>
  </w:style>
  <w:style w:type="paragraph" w:styleId="BalloonText">
    <w:name w:val="Balloon Text"/>
    <w:basedOn w:val="Normal"/>
    <w:link w:val="Style16"/>
    <w:uiPriority w:val="99"/>
    <w:semiHidden/>
    <w:unhideWhenUsed/>
    <w:qFormat/>
    <w:rsid w:val="003c70bd"/>
    <w:pPr>
      <w:spacing w:lineRule="auto" w:line="240" w:before="0" w:after="0"/>
    </w:pPr>
    <w:rPr>
      <w:rFonts w:ascii="Segoe UI" w:hAnsi="Segoe UI" w:cs="Segoe UI"/>
      <w:sz w:val="18"/>
      <w:szCs w:val="18"/>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312</TotalTime>
  <Application>LibreOffice/25.8.6.2$Windows_X86_64 LibreOffice_project/b4b39682cd9868fa725bc664aff94278d315bd04</Application>
  <AppVersion>15.0000</AppVersion>
  <Pages>2</Pages>
  <Words>662</Words>
  <Characters>4494</Characters>
  <CharactersWithSpaces>5010</CharactersWithSpaces>
  <Paragraphs>137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2026-03-30T12:02:00Z</dcterms:created>
  <dc:creator>Толстова Екатерина Владимировна</dc:creator>
  <dc:description/>
  <dc:language>ru-RU</dc:language>
  <cp:lastModifiedBy>Музыка Евгений Вадимович</cp:lastModifiedBy>
  <dcterms:modified xsi:type="dcterms:W3CDTF">2026-04-13T13:26:00Z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